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0E00AC" w:rsidR="00BE3E3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[Titre </w:t>
      </w:r>
      <w:r w:rsidR="00D1256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Taille</w:t>
      </w:r>
      <w:r w:rsidR="00D1256B"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>]</w:t>
      </w:r>
    </w:p>
    <w:p w14:paraId="00000002" w14:textId="026DA8A4" w:rsidR="00BE3E3C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[*Les éléments entre crochets doivent être supprimés]</w:t>
      </w:r>
    </w:p>
    <w:p w14:paraId="00000003" w14:textId="77777777" w:rsidR="00BE3E3C" w:rsidRDefault="00BE3E3C">
      <w:pPr>
        <w:jc w:val="both"/>
        <w:rPr>
          <w:b/>
          <w:sz w:val="28"/>
          <w:szCs w:val="28"/>
        </w:rPr>
      </w:pPr>
    </w:p>
    <w:p w14:paraId="00000004" w14:textId="77777777" w:rsidR="00BE3E3C" w:rsidRDefault="00000000">
      <w:pPr>
        <w:jc w:val="both"/>
      </w:pPr>
      <w:r>
        <w:t>[Prénom1, NOM1, Laboratoire - Institution, PAYS]</w:t>
      </w:r>
    </w:p>
    <w:p w14:paraId="00000006" w14:textId="763B29D4" w:rsidR="00BE3E3C" w:rsidRPr="00D616E9" w:rsidRDefault="00000000">
      <w:pPr>
        <w:jc w:val="both"/>
      </w:pPr>
      <w:r w:rsidRPr="00D616E9">
        <w:t>[...</w:t>
      </w:r>
      <w:r w:rsidR="00D1256B" w:rsidRPr="00D616E9">
        <w:t>2</w:t>
      </w:r>
      <w:r w:rsidRPr="00D616E9">
        <w:t>,</w:t>
      </w:r>
      <w:r w:rsidR="00D1256B" w:rsidRPr="00D616E9">
        <w:t>3</w:t>
      </w:r>
      <w:r w:rsidRPr="00D616E9">
        <w:t>]</w:t>
      </w:r>
    </w:p>
    <w:p w14:paraId="00000007" w14:textId="77777777" w:rsidR="00BE3E3C" w:rsidRPr="00D616E9" w:rsidRDefault="00BE3E3C">
      <w:pPr>
        <w:jc w:val="both"/>
        <w:rPr>
          <w:b/>
        </w:rPr>
      </w:pPr>
    </w:p>
    <w:p w14:paraId="00000008" w14:textId="148E9B9D" w:rsidR="00BE3E3C" w:rsidRPr="00D616E9" w:rsidRDefault="00000000">
      <w:pPr>
        <w:jc w:val="both"/>
        <w:rPr>
          <w:i/>
          <w:sz w:val="20"/>
          <w:szCs w:val="20"/>
        </w:rPr>
      </w:pPr>
      <w:r w:rsidRPr="00D616E9">
        <w:rPr>
          <w:i/>
          <w:sz w:val="20"/>
          <w:szCs w:val="20"/>
        </w:rPr>
        <w:t xml:space="preserve">Mots-clés — [un, deux, trois, quatre, cinq (jusqu’à 5 mots ou groupes de mots)] </w:t>
      </w:r>
    </w:p>
    <w:p w14:paraId="00000009" w14:textId="77777777" w:rsidR="00BE3E3C" w:rsidRPr="00D616E9" w:rsidRDefault="00BE3E3C">
      <w:pPr>
        <w:jc w:val="both"/>
        <w:rPr>
          <w:i/>
          <w:sz w:val="20"/>
          <w:szCs w:val="20"/>
        </w:rPr>
      </w:pPr>
    </w:p>
    <w:p w14:paraId="0000000A" w14:textId="3EE9D1B9" w:rsidR="00BE3E3C" w:rsidRDefault="00000000">
      <w:pPr>
        <w:jc w:val="both"/>
      </w:pPr>
      <w:r>
        <w:t>[Résumé - Taille 11]</w:t>
      </w:r>
    </w:p>
    <w:p w14:paraId="0000000B" w14:textId="77777777" w:rsidR="00BE3E3C" w:rsidRDefault="00BE3E3C">
      <w:pPr>
        <w:jc w:val="both"/>
      </w:pPr>
    </w:p>
    <w:p w14:paraId="0000000C" w14:textId="54BAE408" w:rsidR="00BE3E3C" w:rsidRDefault="00000000">
      <w:pPr>
        <w:jc w:val="both"/>
      </w:pPr>
      <w:r>
        <w:t xml:space="preserve">[Le résumé doit être ajouté ici. Le texte </w:t>
      </w:r>
      <w:r w:rsidR="008167ED">
        <w:t xml:space="preserve">sera </w:t>
      </w:r>
      <w:r>
        <w:t>justifié, taille 11, police Times New Roman</w:t>
      </w:r>
      <w:r w:rsidR="00D616E9">
        <w:t xml:space="preserve"> et</w:t>
      </w:r>
      <w:r>
        <w:t xml:space="preserve"> ne </w:t>
      </w:r>
      <w:r w:rsidR="008167ED">
        <w:t>devra</w:t>
      </w:r>
      <w:r>
        <w:t xml:space="preserve"> pas dépasser </w:t>
      </w:r>
      <w:r w:rsidR="00D616E9">
        <w:t>2000 signes</w:t>
      </w:r>
      <w:r>
        <w:t xml:space="preserve"> (</w:t>
      </w:r>
      <w:r w:rsidR="00D616E9">
        <w:t xml:space="preserve">hors </w:t>
      </w:r>
      <w:r>
        <w:t xml:space="preserve">bibliographie). </w:t>
      </w:r>
      <w:r w:rsidR="008167ED">
        <w:t>Merci d’</w:t>
      </w:r>
      <w:r>
        <w:t>intégrer l</w:t>
      </w:r>
      <w:r w:rsidR="008167ED">
        <w:t xml:space="preserve">es </w:t>
      </w:r>
      <w:r>
        <w:t>référence</w:t>
      </w:r>
      <w:r w:rsidR="008167ED">
        <w:t>s</w:t>
      </w:r>
      <w:r>
        <w:t xml:space="preserve"> vers les sources </w:t>
      </w:r>
      <w:r w:rsidR="008649A5">
        <w:t>bibliographiques</w:t>
      </w:r>
      <w:r>
        <w:t xml:space="preserve"> selon le modèle (Auteur, Année</w:t>
      </w:r>
      <w:r w:rsidR="00DA5FBC">
        <w:t> :</w:t>
      </w:r>
      <w:r>
        <w:t xml:space="preserve"> page).]</w:t>
      </w:r>
    </w:p>
    <w:p w14:paraId="0000000E" w14:textId="77777777" w:rsidR="00BE3E3C" w:rsidRPr="007A1B81" w:rsidRDefault="00BE3E3C">
      <w:pPr>
        <w:jc w:val="both"/>
        <w:rPr>
          <w:sz w:val="20"/>
          <w:szCs w:val="20"/>
        </w:rPr>
      </w:pPr>
    </w:p>
    <w:p w14:paraId="0000000F" w14:textId="17189D5F" w:rsidR="00BE3E3C" w:rsidRPr="00D1256B" w:rsidRDefault="00000000">
      <w:pPr>
        <w:jc w:val="both"/>
        <w:rPr>
          <w:sz w:val="20"/>
          <w:szCs w:val="20"/>
        </w:rPr>
      </w:pPr>
      <w:r w:rsidRPr="00D1256B">
        <w:rPr>
          <w:sz w:val="20"/>
          <w:szCs w:val="20"/>
        </w:rPr>
        <w:t>[Bibliographie - Taille10]</w:t>
      </w:r>
    </w:p>
    <w:p w14:paraId="00000011" w14:textId="48C02656" w:rsidR="00BE3E3C" w:rsidRDefault="00000000">
      <w:pPr>
        <w:jc w:val="both"/>
        <w:rPr>
          <w:sz w:val="20"/>
          <w:szCs w:val="20"/>
        </w:rPr>
      </w:pPr>
      <w:r w:rsidRPr="00F35D90">
        <w:rPr>
          <w:sz w:val="20"/>
          <w:szCs w:val="20"/>
        </w:rPr>
        <w:t>[APA francophone :</w:t>
      </w:r>
      <w:r w:rsidR="007A1B81" w:rsidRPr="007A1B81">
        <w:t xml:space="preserve"> </w:t>
      </w:r>
      <w:r w:rsidR="007A1B81" w:rsidRPr="007A1B81">
        <w:rPr>
          <w:sz w:val="20"/>
          <w:szCs w:val="20"/>
        </w:rPr>
        <w:t>https://bib.umontreal.ca/citer/styles-bibliographiques/apa</w:t>
      </w:r>
      <w:r w:rsidRPr="00F35D90">
        <w:rPr>
          <w:sz w:val="20"/>
          <w:szCs w:val="20"/>
        </w:rPr>
        <w:t>]</w:t>
      </w:r>
    </w:p>
    <w:p w14:paraId="00000013" w14:textId="376798AA" w:rsidR="00BE3E3C" w:rsidRPr="00D1256B" w:rsidRDefault="00000000">
      <w:pPr>
        <w:jc w:val="both"/>
        <w:rPr>
          <w:sz w:val="20"/>
          <w:szCs w:val="20"/>
        </w:rPr>
      </w:pPr>
      <w:r w:rsidRPr="00D1256B">
        <w:rPr>
          <w:sz w:val="20"/>
          <w:szCs w:val="20"/>
        </w:rPr>
        <w:t>[Exemple</w:t>
      </w:r>
      <w:r w:rsidR="009D04B4">
        <w:rPr>
          <w:sz w:val="20"/>
          <w:szCs w:val="20"/>
        </w:rPr>
        <w:t>s</w:t>
      </w:r>
      <w:r w:rsidRPr="00D1256B">
        <w:rPr>
          <w:sz w:val="20"/>
          <w:szCs w:val="20"/>
        </w:rPr>
        <w:t>]</w:t>
      </w:r>
    </w:p>
    <w:p w14:paraId="2A5CDA17" w14:textId="77777777" w:rsidR="00A54342" w:rsidRPr="00D1256B" w:rsidRDefault="00A54342" w:rsidP="00D1256B">
      <w:pPr>
        <w:jc w:val="both"/>
        <w:rPr>
          <w:sz w:val="20"/>
          <w:szCs w:val="20"/>
        </w:rPr>
      </w:pPr>
    </w:p>
    <w:p w14:paraId="57BBA5E3" w14:textId="77777777" w:rsidR="009D04B4" w:rsidRDefault="00D1256B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 xml:space="preserve">Cabré, M. T. (1998). </w:t>
      </w:r>
      <w:r w:rsidRPr="009D04B4">
        <w:rPr>
          <w:i/>
          <w:iCs/>
          <w:sz w:val="20"/>
          <w:szCs w:val="20"/>
        </w:rPr>
        <w:t>La terminologie. Théorie, méthode et applications</w:t>
      </w:r>
      <w:r w:rsidRPr="009D04B4">
        <w:rPr>
          <w:sz w:val="20"/>
          <w:szCs w:val="20"/>
        </w:rPr>
        <w:t>. Traduction par M. Cormier &amp; J. Humbley, Paris : Armand Colin.</w:t>
      </w:r>
      <w:r w:rsidR="009D04B4" w:rsidRPr="009D04B4">
        <w:rPr>
          <w:sz w:val="20"/>
          <w:szCs w:val="20"/>
        </w:rPr>
        <w:t xml:space="preserve"> </w:t>
      </w:r>
    </w:p>
    <w:p w14:paraId="1770AFB9" w14:textId="7440098F" w:rsidR="009D04B4" w:rsidRPr="009D04B4" w:rsidRDefault="009D04B4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>Faber, P. B., &amp; L’Homme, M.-C. (</w:t>
      </w:r>
      <w:proofErr w:type="spellStart"/>
      <w:r w:rsidRPr="009D04B4">
        <w:rPr>
          <w:sz w:val="20"/>
          <w:szCs w:val="20"/>
        </w:rPr>
        <w:t>Éds</w:t>
      </w:r>
      <w:proofErr w:type="spellEnd"/>
      <w:r w:rsidRPr="009D04B4">
        <w:rPr>
          <w:sz w:val="20"/>
          <w:szCs w:val="20"/>
        </w:rPr>
        <w:t xml:space="preserve">). </w:t>
      </w:r>
      <w:r w:rsidRPr="009D04B4">
        <w:rPr>
          <w:sz w:val="20"/>
          <w:szCs w:val="20"/>
          <w:lang w:val="en-US"/>
        </w:rPr>
        <w:t xml:space="preserve">(2022). </w:t>
      </w:r>
      <w:r w:rsidRPr="009D04B4">
        <w:rPr>
          <w:i/>
          <w:iCs/>
          <w:sz w:val="20"/>
          <w:szCs w:val="20"/>
          <w:lang w:val="en-US"/>
        </w:rPr>
        <w:t>Theoretical perspectives on terminology: Explaining terms, concepts and specialized knowledge</w:t>
      </w:r>
      <w:r w:rsidRPr="009D04B4">
        <w:rPr>
          <w:sz w:val="20"/>
          <w:szCs w:val="20"/>
          <w:lang w:val="en-US"/>
        </w:rPr>
        <w:t xml:space="preserve"> (Vol. 23). </w:t>
      </w:r>
      <w:proofErr w:type="gramStart"/>
      <w:r w:rsidRPr="009D04B4">
        <w:rPr>
          <w:sz w:val="20"/>
          <w:szCs w:val="20"/>
        </w:rPr>
        <w:t>Amsterdam;</w:t>
      </w:r>
      <w:proofErr w:type="gramEnd"/>
      <w:r w:rsidRPr="009D04B4">
        <w:rPr>
          <w:sz w:val="20"/>
          <w:szCs w:val="20"/>
        </w:rPr>
        <w:t xml:space="preserve"> Philadelphia: John Benjamins </w:t>
      </w:r>
      <w:proofErr w:type="spellStart"/>
      <w:r w:rsidRPr="009D04B4">
        <w:rPr>
          <w:sz w:val="20"/>
          <w:szCs w:val="20"/>
        </w:rPr>
        <w:t>Publishing</w:t>
      </w:r>
      <w:proofErr w:type="spellEnd"/>
      <w:r w:rsidRPr="009D04B4">
        <w:rPr>
          <w:sz w:val="20"/>
          <w:szCs w:val="20"/>
        </w:rPr>
        <w:t xml:space="preserve"> </w:t>
      </w:r>
      <w:proofErr w:type="spellStart"/>
      <w:r w:rsidRPr="009D04B4">
        <w:rPr>
          <w:sz w:val="20"/>
          <w:szCs w:val="20"/>
        </w:rPr>
        <w:t>Company</w:t>
      </w:r>
      <w:proofErr w:type="spellEnd"/>
      <w:r w:rsidRPr="009D04B4">
        <w:rPr>
          <w:sz w:val="20"/>
          <w:szCs w:val="20"/>
        </w:rPr>
        <w:t>.</w:t>
      </w:r>
    </w:p>
    <w:p w14:paraId="48F1B21C" w14:textId="77777777" w:rsidR="00AB2863" w:rsidRPr="009D04B4" w:rsidRDefault="00AB2863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 xml:space="preserve">Gambier, Y. (2016). Des langues de spécialité aux documents multimodaux. </w:t>
      </w:r>
      <w:r w:rsidRPr="009D04B4">
        <w:rPr>
          <w:i/>
          <w:iCs/>
          <w:sz w:val="20"/>
          <w:szCs w:val="20"/>
        </w:rPr>
        <w:t>Pratiques. Linguistique, littérature, didactique</w:t>
      </w:r>
      <w:r w:rsidRPr="009D04B4">
        <w:rPr>
          <w:sz w:val="20"/>
          <w:szCs w:val="20"/>
        </w:rPr>
        <w:t>, (171</w:t>
      </w:r>
      <w:r w:rsidRPr="009D04B4">
        <w:rPr>
          <w:sz w:val="20"/>
          <w:szCs w:val="20"/>
        </w:rPr>
        <w:noBreakHyphen/>
        <w:t xml:space="preserve">172). Repéré à </w:t>
      </w:r>
      <w:hyperlink r:id="rId4" w:history="1">
        <w:r w:rsidRPr="009D04B4">
          <w:rPr>
            <w:rStyle w:val="Lienhypertexte"/>
            <w:sz w:val="20"/>
            <w:szCs w:val="20"/>
          </w:rPr>
          <w:t>http://journals.openedition.org/pratiques/3183</w:t>
        </w:r>
      </w:hyperlink>
    </w:p>
    <w:p w14:paraId="734E79B1" w14:textId="59B32726" w:rsidR="00D1256B" w:rsidRPr="009D04B4" w:rsidRDefault="00D1256B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 xml:space="preserve">Gaudin, F. (2005). La socioterminologie. </w:t>
      </w:r>
      <w:r w:rsidRPr="009D04B4">
        <w:rPr>
          <w:i/>
          <w:iCs/>
          <w:sz w:val="20"/>
          <w:szCs w:val="20"/>
        </w:rPr>
        <w:t>Langages</w:t>
      </w:r>
      <w:r w:rsidRPr="009D04B4">
        <w:rPr>
          <w:sz w:val="20"/>
          <w:szCs w:val="20"/>
        </w:rPr>
        <w:t>, (157), 81</w:t>
      </w:r>
      <w:r w:rsidRPr="009D04B4">
        <w:rPr>
          <w:sz w:val="20"/>
          <w:szCs w:val="20"/>
        </w:rPr>
        <w:noBreakHyphen/>
        <w:t>93.</w:t>
      </w:r>
    </w:p>
    <w:p w14:paraId="4FF14FF4" w14:textId="77777777" w:rsidR="009D04B4" w:rsidRPr="009D04B4" w:rsidRDefault="00D1256B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 xml:space="preserve">Humbley, J. (2018). </w:t>
      </w:r>
      <w:r w:rsidRPr="009D04B4">
        <w:rPr>
          <w:i/>
          <w:iCs/>
          <w:sz w:val="20"/>
          <w:szCs w:val="20"/>
        </w:rPr>
        <w:t>La néologie terminologique</w:t>
      </w:r>
      <w:r w:rsidRPr="009D04B4">
        <w:rPr>
          <w:sz w:val="20"/>
          <w:szCs w:val="20"/>
        </w:rPr>
        <w:t>. Limoges : Lambert-Lucas.</w:t>
      </w:r>
    </w:p>
    <w:p w14:paraId="4D622C7D" w14:textId="77777777" w:rsidR="009D04B4" w:rsidRPr="009D04B4" w:rsidRDefault="009D04B4" w:rsidP="009D04B4">
      <w:pPr>
        <w:ind w:left="426" w:hanging="480"/>
        <w:jc w:val="both"/>
        <w:rPr>
          <w:sz w:val="20"/>
          <w:szCs w:val="20"/>
        </w:rPr>
      </w:pPr>
      <w:r w:rsidRPr="009D04B4">
        <w:rPr>
          <w:sz w:val="20"/>
          <w:szCs w:val="20"/>
        </w:rPr>
        <w:t>L’Homme, M.-C. (2024). « </w:t>
      </w:r>
      <w:proofErr w:type="spellStart"/>
      <w:r w:rsidRPr="009D04B4">
        <w:rPr>
          <w:sz w:val="20"/>
          <w:szCs w:val="20"/>
        </w:rPr>
        <w:t>DiCoEnviro</w:t>
      </w:r>
      <w:proofErr w:type="spellEnd"/>
      <w:r w:rsidRPr="009D04B4">
        <w:rPr>
          <w:sz w:val="20"/>
          <w:szCs w:val="20"/>
        </w:rPr>
        <w:t xml:space="preserve"> » : Découverte et représentation de structures terminologiques dans le domaine de l’environnement. </w:t>
      </w:r>
      <w:r w:rsidRPr="009D04B4">
        <w:rPr>
          <w:i/>
          <w:iCs/>
          <w:sz w:val="20"/>
          <w:szCs w:val="20"/>
        </w:rPr>
        <w:t>Repères-</w:t>
      </w:r>
      <w:proofErr w:type="spellStart"/>
      <w:r w:rsidRPr="009D04B4">
        <w:rPr>
          <w:i/>
          <w:iCs/>
          <w:sz w:val="20"/>
          <w:szCs w:val="20"/>
        </w:rPr>
        <w:t>Dorif</w:t>
      </w:r>
      <w:proofErr w:type="spellEnd"/>
      <w:r w:rsidRPr="009D04B4">
        <w:rPr>
          <w:sz w:val="20"/>
          <w:szCs w:val="20"/>
        </w:rPr>
        <w:t xml:space="preserve">. Repéré à </w:t>
      </w:r>
      <w:hyperlink r:id="rId5" w:history="1">
        <w:r w:rsidRPr="009D04B4">
          <w:rPr>
            <w:rStyle w:val="Lienhypertexte"/>
            <w:sz w:val="20"/>
            <w:szCs w:val="20"/>
          </w:rPr>
          <w:t>https://www.dorif.it/reperes/marie-claude-lhomme-le-dicoenviro-decouverte-et-representation-de-structures-terminologiques-dans-le-domaine-de-lenvironnement/</w:t>
        </w:r>
      </w:hyperlink>
    </w:p>
    <w:p w14:paraId="0CB778B1" w14:textId="77777777" w:rsidR="002A67CA" w:rsidRPr="009D04B4" w:rsidRDefault="002A67CA" w:rsidP="009D04B4">
      <w:pPr>
        <w:ind w:left="426" w:hanging="480"/>
        <w:jc w:val="both"/>
        <w:rPr>
          <w:sz w:val="22"/>
          <w:szCs w:val="22"/>
        </w:rPr>
      </w:pPr>
    </w:p>
    <w:p w14:paraId="1289D602" w14:textId="77777777" w:rsidR="00CB3BF7" w:rsidRPr="002A67CA" w:rsidRDefault="00CB3BF7" w:rsidP="00AB2863">
      <w:pPr>
        <w:ind w:left="426" w:hanging="480"/>
        <w:jc w:val="both"/>
        <w:rPr>
          <w:sz w:val="20"/>
          <w:szCs w:val="20"/>
        </w:rPr>
      </w:pPr>
    </w:p>
    <w:p w14:paraId="254DA4F2" w14:textId="620F7364" w:rsidR="000147E0" w:rsidRDefault="000147E0" w:rsidP="00D1256B">
      <w:pPr>
        <w:ind w:left="426" w:hanging="480"/>
        <w:jc w:val="both"/>
        <w:rPr>
          <w:sz w:val="20"/>
          <w:szCs w:val="20"/>
        </w:rPr>
      </w:pPr>
    </w:p>
    <w:p w14:paraId="25B3195F" w14:textId="77777777" w:rsidR="00AB2863" w:rsidRDefault="00AB2863" w:rsidP="00D1256B">
      <w:pPr>
        <w:ind w:left="426" w:hanging="480"/>
        <w:jc w:val="both"/>
        <w:rPr>
          <w:sz w:val="20"/>
          <w:szCs w:val="20"/>
        </w:rPr>
      </w:pPr>
    </w:p>
    <w:p w14:paraId="7E121FA8" w14:textId="77777777" w:rsidR="00AB2863" w:rsidRPr="000147E0" w:rsidRDefault="00AB2863" w:rsidP="00D1256B">
      <w:pPr>
        <w:ind w:left="426" w:hanging="480"/>
        <w:jc w:val="both"/>
        <w:rPr>
          <w:sz w:val="20"/>
          <w:szCs w:val="20"/>
        </w:rPr>
      </w:pPr>
    </w:p>
    <w:p w14:paraId="4D53E0EB" w14:textId="77777777" w:rsidR="00CB3BF7" w:rsidRPr="000147E0" w:rsidRDefault="00CB3BF7" w:rsidP="00CB3BF7">
      <w:pPr>
        <w:ind w:hanging="480"/>
        <w:rPr>
          <w:sz w:val="20"/>
          <w:szCs w:val="20"/>
        </w:rPr>
      </w:pPr>
    </w:p>
    <w:p w14:paraId="7CB6E6B6" w14:textId="77777777" w:rsidR="00CB3BF7" w:rsidRPr="000147E0" w:rsidRDefault="00CB3BF7" w:rsidP="00F35D90">
      <w:pPr>
        <w:ind w:hanging="480"/>
      </w:pPr>
    </w:p>
    <w:p w14:paraId="1677A2F1" w14:textId="77777777" w:rsidR="00F35D90" w:rsidRPr="000147E0" w:rsidRDefault="00F35D90" w:rsidP="00F35D90">
      <w:pPr>
        <w:ind w:hanging="480"/>
      </w:pPr>
    </w:p>
    <w:p w14:paraId="00000017" w14:textId="77777777" w:rsidR="00BE3E3C" w:rsidRPr="000147E0" w:rsidRDefault="00BE3E3C">
      <w:pPr>
        <w:jc w:val="both"/>
        <w:rPr>
          <w:sz w:val="20"/>
          <w:szCs w:val="20"/>
        </w:rPr>
      </w:pPr>
    </w:p>
    <w:sectPr w:rsidR="00BE3E3C" w:rsidRPr="000147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3C"/>
    <w:rsid w:val="000147E0"/>
    <w:rsid w:val="001036D4"/>
    <w:rsid w:val="002A67CA"/>
    <w:rsid w:val="002F283E"/>
    <w:rsid w:val="00687FEE"/>
    <w:rsid w:val="007A1B81"/>
    <w:rsid w:val="008167ED"/>
    <w:rsid w:val="008649A5"/>
    <w:rsid w:val="009D04B4"/>
    <w:rsid w:val="00A54342"/>
    <w:rsid w:val="00AB2863"/>
    <w:rsid w:val="00BE3E3C"/>
    <w:rsid w:val="00CA4B43"/>
    <w:rsid w:val="00CB3BF7"/>
    <w:rsid w:val="00CB7298"/>
    <w:rsid w:val="00CC4381"/>
    <w:rsid w:val="00D1256B"/>
    <w:rsid w:val="00D616E9"/>
    <w:rsid w:val="00DA5FBC"/>
    <w:rsid w:val="00DE2B57"/>
    <w:rsid w:val="00EF6515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9F4B4"/>
  <w15:docId w15:val="{A1990961-0082-7541-ACB6-E1659FF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character" w:styleId="Lienhypertexte">
    <w:name w:val="Hyperlink"/>
    <w:basedOn w:val="Policepardfaut"/>
    <w:uiPriority w:val="99"/>
    <w:unhideWhenUsed/>
    <w:rsid w:val="00A543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43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1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7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rif.it/reperes/marie-claude-lhomme-le-dicoenviro-decouverte-et-representation-de-structures-terminologiques-dans-le-domaine-de-lenvironnement/" TargetMode="External"/><Relationship Id="rId4" Type="http://schemas.openxmlformats.org/officeDocument/2006/relationships/hyperlink" Target="http://journals.openedition.org/pratiques/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12</cp:revision>
  <dcterms:created xsi:type="dcterms:W3CDTF">2024-07-22T16:58:00Z</dcterms:created>
  <dcterms:modified xsi:type="dcterms:W3CDTF">2024-07-24T09:18:00Z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id="txx9Fcpz"/&gt;&lt;style id="http://www.zotero.org/styles/apa-fr-provost" hasBibliography="1" bibliographyStyleHasBeenSet="0"/&gt;&lt;prefs&gt;&lt;pref name="fieldType" value="Field"/&gt;&lt;/prefs&gt;&lt;/data&gt;</vt:lpwstr>
  </property>
</Properties>
</file>